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57" w:type="dxa"/>
          <w:right w:w="0" w:type="dxa"/>
        </w:tblCellMar>
        <w:tblLook w:val="00A0"/>
      </w:tblPr>
      <w:tblGrid>
        <w:gridCol w:w="9029"/>
      </w:tblGrid>
      <w:tr w:rsidR="00ED42C4" w:rsidRPr="0060788C" w:rsidTr="00866838">
        <w:trPr>
          <w:trHeight w:hRule="exact" w:val="255"/>
        </w:trPr>
        <w:tc>
          <w:tcPr>
            <w:tcW w:w="5000" w:type="pct"/>
            <w:vMerge w:val="restart"/>
            <w:vAlign w:val="center"/>
          </w:tcPr>
          <w:p w:rsidR="00ED42C4" w:rsidRPr="0060788C" w:rsidRDefault="00ED42C4" w:rsidP="00203695">
            <w:pPr>
              <w:snapToGrid w:val="0"/>
              <w:jc w:val="center"/>
              <w:rPr>
                <w:rFonts w:cs="Arial"/>
                <w:sz w:val="20"/>
                <w:szCs w:val="20"/>
              </w:rPr>
            </w:pPr>
            <w:r>
              <w:rPr>
                <w:rFonts w:cs="Arial"/>
                <w:noProof/>
                <w:sz w:val="20"/>
                <w:szCs w:val="20"/>
                <w:lang w:eastAsia="el-GR"/>
              </w:rPr>
              <w:drawing>
                <wp:inline distT="0" distB="0" distL="0" distR="0">
                  <wp:extent cx="447675" cy="4476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447675" cy="447675"/>
                          </a:xfrm>
                          <a:prstGeom prst="rect">
                            <a:avLst/>
                          </a:prstGeom>
                          <a:solidFill>
                            <a:srgbClr val="FFFFFF"/>
                          </a:solidFill>
                          <a:ln w="9525">
                            <a:noFill/>
                            <a:miter lim="800000"/>
                            <a:headEnd/>
                            <a:tailEnd/>
                          </a:ln>
                        </pic:spPr>
                      </pic:pic>
                    </a:graphicData>
                  </a:graphic>
                </wp:inline>
              </w:drawing>
            </w:r>
          </w:p>
        </w:tc>
      </w:tr>
      <w:tr w:rsidR="00ED42C4" w:rsidRPr="0060788C" w:rsidTr="00866838">
        <w:trPr>
          <w:trHeight w:val="281"/>
        </w:trPr>
        <w:tc>
          <w:tcPr>
            <w:tcW w:w="5000" w:type="pct"/>
            <w:vMerge/>
            <w:vAlign w:val="center"/>
          </w:tcPr>
          <w:p w:rsidR="00ED42C4" w:rsidRPr="0060788C" w:rsidRDefault="00ED42C4" w:rsidP="00203695">
            <w:pPr>
              <w:spacing w:after="0"/>
              <w:rPr>
                <w:rFonts w:cs="Arial"/>
                <w:sz w:val="20"/>
                <w:szCs w:val="20"/>
              </w:rPr>
            </w:pPr>
          </w:p>
        </w:tc>
      </w:tr>
      <w:tr w:rsidR="00ED42C4" w:rsidRPr="0060788C" w:rsidTr="00866838">
        <w:trPr>
          <w:trHeight w:val="281"/>
        </w:trPr>
        <w:tc>
          <w:tcPr>
            <w:tcW w:w="5000" w:type="pct"/>
            <w:vMerge/>
            <w:vAlign w:val="center"/>
          </w:tcPr>
          <w:p w:rsidR="00ED42C4" w:rsidRPr="0060788C" w:rsidRDefault="00ED42C4" w:rsidP="00203695">
            <w:pPr>
              <w:spacing w:after="0"/>
              <w:rPr>
                <w:rFonts w:cs="Arial"/>
                <w:sz w:val="20"/>
                <w:szCs w:val="20"/>
              </w:rPr>
            </w:pPr>
          </w:p>
        </w:tc>
      </w:tr>
      <w:tr w:rsidR="00ED42C4" w:rsidRPr="0060788C" w:rsidTr="00866838">
        <w:trPr>
          <w:trHeight w:val="281"/>
        </w:trPr>
        <w:tc>
          <w:tcPr>
            <w:tcW w:w="5000" w:type="pct"/>
            <w:vMerge/>
            <w:vAlign w:val="center"/>
          </w:tcPr>
          <w:p w:rsidR="00ED42C4" w:rsidRPr="0060788C" w:rsidRDefault="00ED42C4" w:rsidP="00203695">
            <w:pPr>
              <w:spacing w:after="0"/>
              <w:rPr>
                <w:rFonts w:cs="Arial"/>
                <w:sz w:val="20"/>
                <w:szCs w:val="20"/>
              </w:rPr>
            </w:pPr>
          </w:p>
        </w:tc>
      </w:tr>
      <w:tr w:rsidR="00ED42C4" w:rsidRPr="0060788C" w:rsidTr="00866838">
        <w:trPr>
          <w:trHeight w:hRule="exact" w:val="313"/>
        </w:trPr>
        <w:tc>
          <w:tcPr>
            <w:tcW w:w="5000" w:type="pct"/>
            <w:vAlign w:val="center"/>
          </w:tcPr>
          <w:p w:rsidR="00ED42C4" w:rsidRPr="00866838" w:rsidRDefault="00ED42C4" w:rsidP="00203695">
            <w:pPr>
              <w:snapToGrid w:val="0"/>
              <w:spacing w:after="0"/>
              <w:jc w:val="center"/>
              <w:rPr>
                <w:rFonts w:cs="Arial"/>
                <w:sz w:val="28"/>
                <w:szCs w:val="28"/>
              </w:rPr>
            </w:pPr>
            <w:r w:rsidRPr="00866838">
              <w:rPr>
                <w:rFonts w:cs="Arial"/>
                <w:sz w:val="28"/>
                <w:szCs w:val="28"/>
              </w:rPr>
              <w:t>ΕΛΛΗΝΙΚΗ ΔΗΜΟΚΡΑΤΙΑ</w:t>
            </w:r>
          </w:p>
        </w:tc>
      </w:tr>
      <w:tr w:rsidR="00ED42C4" w:rsidRPr="0060788C" w:rsidTr="00712284">
        <w:trPr>
          <w:trHeight w:hRule="exact" w:val="416"/>
        </w:trPr>
        <w:tc>
          <w:tcPr>
            <w:tcW w:w="5000" w:type="pct"/>
            <w:vAlign w:val="center"/>
          </w:tcPr>
          <w:p w:rsidR="00ED42C4" w:rsidRPr="00866838" w:rsidRDefault="00ED42C4" w:rsidP="00203695">
            <w:pPr>
              <w:snapToGrid w:val="0"/>
              <w:jc w:val="center"/>
              <w:rPr>
                <w:rFonts w:cs="Arial"/>
                <w:sz w:val="28"/>
                <w:szCs w:val="28"/>
              </w:rPr>
            </w:pPr>
            <w:r w:rsidRPr="00866838">
              <w:rPr>
                <w:rFonts w:cs="Arial"/>
                <w:sz w:val="28"/>
                <w:szCs w:val="28"/>
              </w:rPr>
              <w:t xml:space="preserve">ΥΠΟΥΡΓΕΙΟ ΠΑΙΔΕΙΑΣ, ΕΡΕΥΝΑΣ &amp; </w:t>
            </w:r>
            <w:r w:rsidR="00866838" w:rsidRPr="00866838">
              <w:rPr>
                <w:sz w:val="28"/>
                <w:szCs w:val="28"/>
                <w:lang w:eastAsia="el-GR"/>
              </w:rPr>
              <w:t>ΘΡΗΣΚΕΥΜΑΤΩΝ</w:t>
            </w:r>
          </w:p>
        </w:tc>
      </w:tr>
      <w:tr w:rsidR="00ED42C4" w:rsidRPr="0060788C" w:rsidTr="00866838">
        <w:trPr>
          <w:trHeight w:hRule="exact" w:val="269"/>
        </w:trPr>
        <w:tc>
          <w:tcPr>
            <w:tcW w:w="5000" w:type="pct"/>
            <w:vAlign w:val="center"/>
          </w:tcPr>
          <w:p w:rsidR="00ED42C4" w:rsidRPr="00866838" w:rsidRDefault="00ED42C4" w:rsidP="00203695">
            <w:pPr>
              <w:snapToGrid w:val="0"/>
              <w:jc w:val="center"/>
              <w:rPr>
                <w:rFonts w:cs="Arial"/>
                <w:sz w:val="28"/>
                <w:szCs w:val="28"/>
              </w:rPr>
            </w:pPr>
            <w:r w:rsidRPr="00866838">
              <w:rPr>
                <w:rFonts w:cs="Arial"/>
                <w:sz w:val="28"/>
                <w:szCs w:val="28"/>
              </w:rPr>
              <w:t>------</w:t>
            </w:r>
          </w:p>
        </w:tc>
      </w:tr>
      <w:tr w:rsidR="00ED42C4" w:rsidRPr="0060788C" w:rsidTr="00866838">
        <w:trPr>
          <w:trHeight w:hRule="exact" w:val="413"/>
        </w:trPr>
        <w:tc>
          <w:tcPr>
            <w:tcW w:w="5000" w:type="pct"/>
          </w:tcPr>
          <w:p w:rsidR="00ED42C4" w:rsidRPr="00866838" w:rsidRDefault="00ED42C4" w:rsidP="00203695">
            <w:pPr>
              <w:snapToGrid w:val="0"/>
              <w:jc w:val="center"/>
              <w:rPr>
                <w:rFonts w:cs="Arial"/>
                <w:sz w:val="28"/>
                <w:szCs w:val="28"/>
              </w:rPr>
            </w:pPr>
            <w:r w:rsidRPr="00866838">
              <w:rPr>
                <w:rFonts w:cs="Arial"/>
                <w:sz w:val="28"/>
                <w:szCs w:val="28"/>
              </w:rPr>
              <w:t>ΠΕΡΙΦΕΡΕΙΑΚΗ ΔΙΕΥΘΥΝΣΗ</w:t>
            </w:r>
          </w:p>
        </w:tc>
      </w:tr>
      <w:tr w:rsidR="00ED42C4" w:rsidRPr="0060788C" w:rsidTr="00866838">
        <w:trPr>
          <w:trHeight w:hRule="exact" w:val="432"/>
        </w:trPr>
        <w:tc>
          <w:tcPr>
            <w:tcW w:w="5000" w:type="pct"/>
          </w:tcPr>
          <w:p w:rsidR="00ED42C4" w:rsidRPr="00866838" w:rsidRDefault="00ED42C4" w:rsidP="00203695">
            <w:pPr>
              <w:snapToGrid w:val="0"/>
              <w:jc w:val="center"/>
              <w:rPr>
                <w:rFonts w:cs="Arial"/>
                <w:sz w:val="28"/>
                <w:szCs w:val="28"/>
              </w:rPr>
            </w:pPr>
            <w:r w:rsidRPr="00866838">
              <w:rPr>
                <w:rFonts w:cs="Arial"/>
                <w:sz w:val="28"/>
                <w:szCs w:val="28"/>
              </w:rPr>
              <w:t xml:space="preserve">ΠΡΩΤΟΒΑΘΜΙΑΣ &amp; ΔΕΥΤΕΡΟΒΑΘΜΙΑΣ </w:t>
            </w:r>
          </w:p>
        </w:tc>
      </w:tr>
      <w:tr w:rsidR="00ED42C4" w:rsidRPr="0060788C" w:rsidTr="00866838">
        <w:trPr>
          <w:trHeight w:hRule="exact" w:val="462"/>
        </w:trPr>
        <w:tc>
          <w:tcPr>
            <w:tcW w:w="5000" w:type="pct"/>
          </w:tcPr>
          <w:p w:rsidR="00ED42C4" w:rsidRPr="00866838" w:rsidRDefault="00ED42C4" w:rsidP="00203695">
            <w:pPr>
              <w:snapToGrid w:val="0"/>
              <w:jc w:val="center"/>
              <w:rPr>
                <w:rFonts w:cs="Arial"/>
                <w:sz w:val="28"/>
                <w:szCs w:val="28"/>
              </w:rPr>
            </w:pPr>
            <w:r w:rsidRPr="00866838">
              <w:rPr>
                <w:rFonts w:cs="Arial"/>
                <w:sz w:val="28"/>
                <w:szCs w:val="28"/>
              </w:rPr>
              <w:t>ΕΚΠΑΙΔΕΥΣΗΣ ΣΤΕΡΕΑΣ ΕΛΛΑΔΑΣ</w:t>
            </w:r>
          </w:p>
        </w:tc>
      </w:tr>
    </w:tbl>
    <w:p w:rsidR="00ED42C4" w:rsidRDefault="00ED42C4"/>
    <w:p w:rsidR="00ED42C4" w:rsidRDefault="00ED42C4" w:rsidP="00866838">
      <w:pPr>
        <w:jc w:val="center"/>
        <w:rPr>
          <w:b/>
          <w:sz w:val="28"/>
          <w:szCs w:val="28"/>
        </w:rPr>
      </w:pPr>
      <w:r>
        <w:rPr>
          <w:b/>
          <w:sz w:val="28"/>
          <w:szCs w:val="28"/>
        </w:rPr>
        <w:t>ΔΕΛΤΙΟ ΤΥΠΟΥ</w:t>
      </w:r>
    </w:p>
    <w:p w:rsidR="00AF6441" w:rsidRDefault="00ED42C4" w:rsidP="00866838">
      <w:pPr>
        <w:ind w:left="709" w:hanging="709"/>
        <w:rPr>
          <w:b/>
          <w:sz w:val="24"/>
          <w:szCs w:val="24"/>
        </w:rPr>
      </w:pPr>
      <w:r w:rsidRPr="00AF6441">
        <w:rPr>
          <w:b/>
          <w:sz w:val="24"/>
          <w:szCs w:val="24"/>
        </w:rPr>
        <w:t>Θέμα:</w:t>
      </w:r>
      <w:r w:rsidR="00AF6441">
        <w:rPr>
          <w:b/>
          <w:sz w:val="24"/>
          <w:szCs w:val="24"/>
        </w:rPr>
        <w:t xml:space="preserve"> </w:t>
      </w:r>
      <w:r w:rsidRPr="00AF6441">
        <w:rPr>
          <w:b/>
          <w:sz w:val="24"/>
          <w:szCs w:val="24"/>
        </w:rPr>
        <w:t xml:space="preserve"> Έναρξη δίχρονης υποχρεωτικής Προσχολικής Εκπαίδευσης </w:t>
      </w:r>
      <w:r w:rsidR="00AF6441" w:rsidRPr="00AF6441">
        <w:rPr>
          <w:b/>
          <w:sz w:val="24"/>
          <w:szCs w:val="24"/>
        </w:rPr>
        <w:t xml:space="preserve">στην Περιφέρεια </w:t>
      </w:r>
      <w:r w:rsidR="00AF6441">
        <w:rPr>
          <w:b/>
          <w:sz w:val="24"/>
          <w:szCs w:val="24"/>
        </w:rPr>
        <w:t xml:space="preserve"> </w:t>
      </w:r>
      <w:r w:rsidR="00AF6441" w:rsidRPr="00AF6441">
        <w:rPr>
          <w:b/>
          <w:sz w:val="24"/>
          <w:szCs w:val="24"/>
        </w:rPr>
        <w:t>Στερεάς Ελλάδας</w:t>
      </w:r>
    </w:p>
    <w:p w:rsidR="00AF6441" w:rsidRPr="00BE36D9" w:rsidRDefault="00AF6441" w:rsidP="00BE36D9">
      <w:pPr>
        <w:spacing w:line="360" w:lineRule="auto"/>
        <w:ind w:left="709" w:hanging="709"/>
        <w:jc w:val="right"/>
        <w:rPr>
          <w:b/>
          <w:sz w:val="24"/>
          <w:szCs w:val="24"/>
        </w:rPr>
      </w:pPr>
      <w:r w:rsidRPr="00BE36D9">
        <w:rPr>
          <w:b/>
          <w:sz w:val="24"/>
          <w:szCs w:val="24"/>
        </w:rPr>
        <w:t>Λαμία, 16 Απριλίου 2018</w:t>
      </w:r>
    </w:p>
    <w:p w:rsidR="006A4EFC" w:rsidRPr="006A4EFC" w:rsidRDefault="006A4EFC" w:rsidP="006A4EFC">
      <w:pPr>
        <w:spacing w:line="360" w:lineRule="auto"/>
        <w:ind w:firstLine="709"/>
        <w:jc w:val="both"/>
        <w:rPr>
          <w:sz w:val="24"/>
          <w:szCs w:val="24"/>
        </w:rPr>
      </w:pPr>
      <w:r w:rsidRPr="006A4EFC">
        <w:rPr>
          <w:sz w:val="24"/>
          <w:szCs w:val="24"/>
        </w:rPr>
        <w:t xml:space="preserve">Η Περιφερειακή Διεύθυνση Εκπαίδευσης Στερεάς Ελλάδας, μετά την ολοκλήρωση της προβλεπόμενης διαδικασίας (Ν. 4521/2018) με τους Δήμους και τους αρμόδιους φορείς όλων των Περιφερειακών Ενοτήτων της Στερεάς Ελλάδας, ανακοινώνει την καθολική εφαρμογή της δίχρονης υποχρεωτικής Προσχολικής Αγωγής και Εκπαίδευσης στα Νηπιαγωγεία αρμοδιότητάς της με την έναρξη της νέας σχολικής χρονιάς 2018 -2019. </w:t>
      </w:r>
    </w:p>
    <w:p w:rsidR="006A4EFC" w:rsidRPr="006A4EFC" w:rsidRDefault="006A4EFC" w:rsidP="006A4EFC">
      <w:pPr>
        <w:spacing w:line="360" w:lineRule="auto"/>
        <w:ind w:firstLine="360"/>
        <w:jc w:val="both"/>
        <w:rPr>
          <w:sz w:val="24"/>
          <w:szCs w:val="24"/>
        </w:rPr>
      </w:pPr>
      <w:r w:rsidRPr="006A4EFC">
        <w:rPr>
          <w:sz w:val="24"/>
          <w:szCs w:val="24"/>
        </w:rPr>
        <w:t>Με τον τρόπο αυτό υλοποιείται μια μακροχρόνια επιστημονική και παιδαγωγική απαίτηση και ένα πάγιο αίτημα της εκπαιδευτικής κοινότητας, που βασίζεται στους εξής κυρίως σημαντικούς λόγους:</w:t>
      </w:r>
    </w:p>
    <w:p w:rsidR="006A4EFC" w:rsidRPr="006A4EFC" w:rsidRDefault="006A4EFC" w:rsidP="006A4EFC">
      <w:pPr>
        <w:pStyle w:val="a4"/>
        <w:numPr>
          <w:ilvl w:val="0"/>
          <w:numId w:val="1"/>
        </w:numPr>
        <w:spacing w:line="360" w:lineRule="auto"/>
        <w:jc w:val="both"/>
        <w:rPr>
          <w:sz w:val="24"/>
          <w:szCs w:val="24"/>
        </w:rPr>
      </w:pPr>
      <w:r w:rsidRPr="006A4EFC">
        <w:rPr>
          <w:rFonts w:eastAsia="Times New Roman" w:cstheme="minorHAnsi"/>
          <w:noProof/>
          <w:color w:val="222222"/>
          <w:sz w:val="24"/>
          <w:szCs w:val="24"/>
          <w:lang w:eastAsia="el-GR"/>
        </w:rPr>
        <w:pict>
          <v:shapetype id="_x0000_t202" coordsize="21600,21600" o:spt="202" path="m,l,21600r21600,l21600,xe">
            <v:stroke joinstyle="miter"/>
            <v:path gradientshapeok="t" o:connecttype="rect"/>
          </v:shapetype>
          <v:shape id="_x0000_s1027" type="#_x0000_t202" style="position:absolute;left:0;text-align:left;margin-left:209.05pt;margin-top:375pt;width:200.9pt;height:79.1pt;z-index:251660288;mso-width-relative:margin;mso-height-relative:margin" stroked="f">
            <v:textbox>
              <w:txbxContent>
                <w:p w:rsidR="006A4EFC" w:rsidRPr="00F671E2" w:rsidRDefault="006A4EFC" w:rsidP="006A4EFC">
                  <w:pPr>
                    <w:jc w:val="center"/>
                    <w:rPr>
                      <w:b/>
                      <w:sz w:val="24"/>
                      <w:szCs w:val="24"/>
                    </w:rPr>
                  </w:pPr>
                  <w:r w:rsidRPr="00F671E2">
                    <w:rPr>
                      <w:b/>
                      <w:sz w:val="24"/>
                      <w:szCs w:val="24"/>
                    </w:rPr>
                    <w:t>Ο ΠΕΡΙΦΕΡΕΙΑΚΟΣ ΔΙΕΥΘΥΝΤΗΣ</w:t>
                  </w:r>
                </w:p>
                <w:p w:rsidR="006A4EFC" w:rsidRPr="00F671E2" w:rsidRDefault="006A4EFC" w:rsidP="006A4EFC">
                  <w:pPr>
                    <w:rPr>
                      <w:b/>
                      <w:sz w:val="24"/>
                      <w:szCs w:val="24"/>
                    </w:rPr>
                  </w:pPr>
                </w:p>
                <w:p w:rsidR="006A4EFC" w:rsidRPr="00F671E2" w:rsidRDefault="006A4EFC" w:rsidP="006A4EFC">
                  <w:pPr>
                    <w:jc w:val="center"/>
                    <w:rPr>
                      <w:b/>
                      <w:sz w:val="24"/>
                      <w:szCs w:val="24"/>
                    </w:rPr>
                  </w:pPr>
                  <w:r w:rsidRPr="00F671E2">
                    <w:rPr>
                      <w:b/>
                      <w:sz w:val="24"/>
                      <w:szCs w:val="24"/>
                    </w:rPr>
                    <w:t>ΧΡΗΣΤΟΣ ΔΗΜΗΤΡΙΟΥ</w:t>
                  </w:r>
                </w:p>
              </w:txbxContent>
            </v:textbox>
          </v:shape>
        </w:pict>
      </w:r>
      <w:r w:rsidRPr="006A4EFC">
        <w:rPr>
          <w:rFonts w:eastAsia="Times New Roman" w:cstheme="minorHAnsi"/>
          <w:color w:val="222222"/>
          <w:sz w:val="24"/>
          <w:szCs w:val="24"/>
          <w:lang w:eastAsia="el-GR"/>
        </w:rPr>
        <w:t>εξασφαλίζονται ίσες ευκαιρίες μάθησης σε όλα τα παιδιά ηλικίας 4-6 ετών, ανεξάρτητα από την κοινωνική, πολιτισμική τους προέλευση και οικονομική τους κατάσταση προασπίζοντας το δικαίωμα όλων των παιδιών για φοίτηση στο νηπιαγωγείο, απαίτηση, που αποτελεί και βασική ευρωπαϊκή προτεραιότητα.</w:t>
      </w:r>
    </w:p>
    <w:p w:rsidR="006A4EFC" w:rsidRPr="006A4EFC" w:rsidRDefault="006A4EFC" w:rsidP="006A4EFC">
      <w:pPr>
        <w:pStyle w:val="a4"/>
        <w:numPr>
          <w:ilvl w:val="0"/>
          <w:numId w:val="1"/>
        </w:numPr>
        <w:spacing w:before="120" w:after="120" w:line="360" w:lineRule="auto"/>
        <w:jc w:val="both"/>
        <w:rPr>
          <w:rFonts w:eastAsia="Times New Roman" w:cstheme="minorHAnsi"/>
          <w:color w:val="222222"/>
          <w:sz w:val="24"/>
          <w:szCs w:val="24"/>
          <w:lang w:eastAsia="el-GR"/>
        </w:rPr>
      </w:pPr>
      <w:r w:rsidRPr="006A4EFC">
        <w:rPr>
          <w:rFonts w:eastAsia="Times New Roman" w:cstheme="minorHAnsi"/>
          <w:color w:val="222222"/>
          <w:sz w:val="24"/>
          <w:szCs w:val="24"/>
          <w:lang w:eastAsia="el-GR"/>
        </w:rPr>
        <w:t>Με την καθολική φοίτηση όλων των νηπίων</w:t>
      </w:r>
      <w:r w:rsidRPr="006A4EFC">
        <w:rPr>
          <w:rFonts w:eastAsia="Times New Roman" w:cstheme="minorHAnsi"/>
          <w:color w:val="333333"/>
          <w:sz w:val="24"/>
          <w:szCs w:val="24"/>
          <w:lang w:eastAsia="el-GR"/>
        </w:rPr>
        <w:t xml:space="preserve"> το δημόσιο δίχρονο Νηπιαγωγείο μπορεί να «απορροφήσει» και να αμβλύνει πολλούς από τους παράγοντες που δημιουργούν συνθήκες χαμηλής σχολικής επίδοσης, πρόωρης εγκατάλειψης και περιθωριοποίησης μεγάλου αριθμού μαθητών, ιδιαίτερα μαθητών που ανήκουν στις ευάλωτες κοινωνικές ομάδες. Σημειώνεται ότι οι παραπάνω παράγοντες</w:t>
      </w:r>
      <w:r w:rsidRPr="006A4EFC">
        <w:rPr>
          <w:rFonts w:eastAsia="Times New Roman" w:cstheme="minorHAnsi"/>
          <w:color w:val="222222"/>
          <w:sz w:val="24"/>
          <w:szCs w:val="24"/>
          <w:lang w:eastAsia="el-GR"/>
        </w:rPr>
        <w:t xml:space="preserve"> καταγράφονται ιδιαίτερα έντονοι σε ορισμένες υποβαθμισμένες περιοχές της Περιφέρειάς μας και ενισχύονται έτι </w:t>
      </w:r>
      <w:r w:rsidRPr="006A4EFC">
        <w:rPr>
          <w:rFonts w:eastAsia="Times New Roman" w:cstheme="minorHAnsi"/>
          <w:color w:val="222222"/>
          <w:sz w:val="24"/>
          <w:szCs w:val="24"/>
          <w:lang w:eastAsia="el-GR"/>
        </w:rPr>
        <w:lastRenderedPageBreak/>
        <w:t xml:space="preserve">περαιτέρω από </w:t>
      </w:r>
      <w:r w:rsidRPr="006A4EFC">
        <w:rPr>
          <w:rFonts w:eastAsia="Times New Roman" w:cstheme="minorHAnsi"/>
          <w:color w:val="333333"/>
          <w:sz w:val="24"/>
          <w:szCs w:val="24"/>
          <w:lang w:eastAsia="el-GR"/>
        </w:rPr>
        <w:t xml:space="preserve">τις ειδικές </w:t>
      </w:r>
      <w:proofErr w:type="spellStart"/>
      <w:r w:rsidRPr="006A4EFC">
        <w:rPr>
          <w:rFonts w:eastAsia="Times New Roman" w:cstheme="minorHAnsi"/>
          <w:color w:val="333333"/>
          <w:sz w:val="24"/>
          <w:szCs w:val="24"/>
          <w:lang w:eastAsia="el-GR"/>
        </w:rPr>
        <w:t>κοινωνικο</w:t>
      </w:r>
      <w:proofErr w:type="spellEnd"/>
      <w:r w:rsidRPr="006A4EFC">
        <w:rPr>
          <w:rFonts w:eastAsia="Times New Roman" w:cstheme="minorHAnsi"/>
          <w:color w:val="333333"/>
          <w:sz w:val="24"/>
          <w:szCs w:val="24"/>
          <w:lang w:eastAsia="el-GR"/>
        </w:rPr>
        <w:t xml:space="preserve">-οικονομικές συνθήκες καταστάσεις που βιώνει η χώρα μας. </w:t>
      </w:r>
    </w:p>
    <w:p w:rsidR="006A4EFC" w:rsidRPr="006A4EFC" w:rsidRDefault="006A4EFC" w:rsidP="006A4EFC">
      <w:pPr>
        <w:pStyle w:val="a4"/>
        <w:numPr>
          <w:ilvl w:val="0"/>
          <w:numId w:val="1"/>
        </w:numPr>
        <w:spacing w:before="120" w:after="120" w:line="360" w:lineRule="auto"/>
        <w:jc w:val="both"/>
        <w:rPr>
          <w:rFonts w:eastAsia="Calibri" w:cstheme="minorHAnsi"/>
          <w:sz w:val="24"/>
          <w:szCs w:val="24"/>
        </w:rPr>
      </w:pPr>
      <w:r w:rsidRPr="006A4EFC">
        <w:rPr>
          <w:rFonts w:eastAsia="Times New Roman" w:cstheme="minorHAnsi"/>
          <w:color w:val="222222"/>
          <w:sz w:val="24"/>
          <w:szCs w:val="24"/>
          <w:lang w:eastAsia="el-GR"/>
        </w:rPr>
        <w:t xml:space="preserve">Η δίχρονη φοίτηση </w:t>
      </w:r>
      <w:r w:rsidRPr="006A4EFC">
        <w:rPr>
          <w:rFonts w:eastAsia="Calibri" w:cstheme="minorHAnsi"/>
          <w:sz w:val="24"/>
          <w:szCs w:val="24"/>
        </w:rPr>
        <w:t xml:space="preserve">δίνει τη δυνατότητα να διευρυνθεί η </w:t>
      </w:r>
      <w:r w:rsidRPr="006A4EFC">
        <w:rPr>
          <w:rFonts w:eastAsia="Times New Roman" w:cstheme="minorHAnsi"/>
          <w:color w:val="333333"/>
          <w:sz w:val="24"/>
          <w:szCs w:val="24"/>
          <w:lang w:eastAsia="el-GR"/>
        </w:rPr>
        <w:t xml:space="preserve">αντισταθμιστική λειτουργία του Νηπιαγωγείου, </w:t>
      </w:r>
      <w:r w:rsidRPr="006A4EFC">
        <w:rPr>
          <w:rFonts w:eastAsia="Calibri" w:cstheme="minorHAnsi"/>
          <w:sz w:val="24"/>
          <w:szCs w:val="24"/>
        </w:rPr>
        <w:t xml:space="preserve">να ολοκληρωθούν και να υλοποιηθούν αποτελεσματικά οι στόχοι του υπάρχοντος αναλυτικού προγράμματος </w:t>
      </w:r>
      <w:r w:rsidRPr="006A4EFC">
        <w:rPr>
          <w:rFonts w:eastAsia="Times New Roman" w:cstheme="minorHAnsi"/>
          <w:color w:val="333333"/>
          <w:sz w:val="24"/>
          <w:szCs w:val="24"/>
          <w:lang w:eastAsia="el-GR"/>
        </w:rPr>
        <w:t xml:space="preserve">θέτοντας στέρεες βάσεις για </w:t>
      </w:r>
      <w:r w:rsidRPr="006A4EFC">
        <w:rPr>
          <w:rFonts w:eastAsia="Calibri" w:cstheme="minorHAnsi"/>
          <w:sz w:val="24"/>
          <w:szCs w:val="24"/>
        </w:rPr>
        <w:t>να αναπτύξουν τα νήπια την αυτονομία τους, να κοινωνικοποιηθούν επαρκώς και να αναπτύξουν τις απαραίτητες γνώσεις, στάσεις και δεξιότητες για την ομαλή μετάβασή τους στο δημοτικό σχολείο. Είναι σημαντικό να τονιστεί πόσο οι εμπειρίες των παιδιών κατά τη νηπιακή ηλικία επηρεάζουν και τη μετέπειτα πορεία τους στο σχολείο και τη ζωή τους, δικαιολογώντας, έτσι, το αυξανόμενο ενδιαφέρον, παγκοσμίως, για την προσχολική αγωγή.</w:t>
      </w:r>
    </w:p>
    <w:p w:rsidR="00090BF6" w:rsidRDefault="00712284" w:rsidP="006A4EFC">
      <w:pPr>
        <w:spacing w:line="360" w:lineRule="auto"/>
        <w:ind w:left="142" w:firstLine="567"/>
        <w:jc w:val="both"/>
        <w:rPr>
          <w:b/>
          <w:sz w:val="24"/>
          <w:szCs w:val="24"/>
        </w:rPr>
      </w:pPr>
      <w:r>
        <w:rPr>
          <w:b/>
          <w:noProof/>
          <w:sz w:val="24"/>
          <w:szCs w:val="24"/>
          <w:lang w:eastAsia="el-GR"/>
        </w:rPr>
        <w:pict>
          <v:shape id="_x0000_s1028" type="#_x0000_t202" style="position:absolute;left:0;text-align:left;margin-left:242.35pt;margin-top:12.85pt;width:200.9pt;height:79.1pt;z-index:251661312;mso-width-relative:margin;mso-height-relative:margin" stroked="f">
            <v:textbox>
              <w:txbxContent>
                <w:p w:rsidR="00712284" w:rsidRPr="00F671E2" w:rsidRDefault="00712284" w:rsidP="00712284">
                  <w:pPr>
                    <w:jc w:val="center"/>
                    <w:rPr>
                      <w:b/>
                      <w:sz w:val="24"/>
                      <w:szCs w:val="24"/>
                    </w:rPr>
                  </w:pPr>
                  <w:r w:rsidRPr="00F671E2">
                    <w:rPr>
                      <w:b/>
                      <w:sz w:val="24"/>
                      <w:szCs w:val="24"/>
                    </w:rPr>
                    <w:t>Ο ΠΕΡΙΦΕΡΕΙΑΚΟΣ ΔΙΕΥΘΥΝΤΗΣ</w:t>
                  </w:r>
                </w:p>
                <w:p w:rsidR="00712284" w:rsidRPr="00F671E2" w:rsidRDefault="00712284" w:rsidP="00712284">
                  <w:pPr>
                    <w:rPr>
                      <w:b/>
                      <w:sz w:val="24"/>
                      <w:szCs w:val="24"/>
                    </w:rPr>
                  </w:pPr>
                </w:p>
                <w:p w:rsidR="00712284" w:rsidRPr="00F671E2" w:rsidRDefault="00712284" w:rsidP="00712284">
                  <w:pPr>
                    <w:jc w:val="center"/>
                    <w:rPr>
                      <w:b/>
                      <w:sz w:val="24"/>
                      <w:szCs w:val="24"/>
                    </w:rPr>
                  </w:pPr>
                  <w:r w:rsidRPr="00F671E2">
                    <w:rPr>
                      <w:b/>
                      <w:sz w:val="24"/>
                      <w:szCs w:val="24"/>
                    </w:rPr>
                    <w:t>ΧΡΗΣΤΟΣ ΔΗΜΗΤΡΙΟΥ</w:t>
                  </w:r>
                </w:p>
              </w:txbxContent>
            </v:textbox>
          </v:shape>
        </w:pict>
      </w:r>
    </w:p>
    <w:p w:rsidR="00712284" w:rsidRPr="006A4EFC" w:rsidRDefault="00712284" w:rsidP="006A4EFC">
      <w:pPr>
        <w:spacing w:line="360" w:lineRule="auto"/>
        <w:ind w:left="142" w:firstLine="567"/>
        <w:jc w:val="both"/>
        <w:rPr>
          <w:b/>
          <w:sz w:val="24"/>
          <w:szCs w:val="24"/>
        </w:rPr>
      </w:pPr>
    </w:p>
    <w:sectPr w:rsidR="00712284" w:rsidRPr="006A4EFC" w:rsidSect="00866838">
      <w:pgSz w:w="11906" w:h="16838"/>
      <w:pgMar w:top="993" w:right="180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C7F0D"/>
    <w:multiLevelType w:val="hybridMultilevel"/>
    <w:tmpl w:val="903E34D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D42C4"/>
    <w:rsid w:val="00016A87"/>
    <w:rsid w:val="00090BF6"/>
    <w:rsid w:val="000E3A0C"/>
    <w:rsid w:val="003338BE"/>
    <w:rsid w:val="006160FF"/>
    <w:rsid w:val="006A4EFC"/>
    <w:rsid w:val="006C3829"/>
    <w:rsid w:val="00712284"/>
    <w:rsid w:val="007152C9"/>
    <w:rsid w:val="00841C4B"/>
    <w:rsid w:val="00866838"/>
    <w:rsid w:val="008A5F3D"/>
    <w:rsid w:val="00A32EB4"/>
    <w:rsid w:val="00A34CC1"/>
    <w:rsid w:val="00AF6441"/>
    <w:rsid w:val="00BE36D9"/>
    <w:rsid w:val="00D26494"/>
    <w:rsid w:val="00D73B06"/>
    <w:rsid w:val="00ED42C4"/>
    <w:rsid w:val="00F671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D42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D42C4"/>
    <w:rPr>
      <w:rFonts w:ascii="Tahoma" w:eastAsia="Calibri" w:hAnsi="Tahoma" w:cs="Tahoma"/>
      <w:sz w:val="16"/>
      <w:szCs w:val="16"/>
    </w:rPr>
  </w:style>
  <w:style w:type="character" w:customStyle="1" w:styleId="apple-converted-space">
    <w:name w:val="apple-converted-space"/>
    <w:basedOn w:val="a0"/>
    <w:rsid w:val="000E3A0C"/>
  </w:style>
  <w:style w:type="paragraph" w:styleId="a4">
    <w:name w:val="List Paragraph"/>
    <w:basedOn w:val="a"/>
    <w:uiPriority w:val="34"/>
    <w:qFormat/>
    <w:rsid w:val="00BE36D9"/>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372</Words>
  <Characters>2014</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2018-04-16T07:13:00Z</dcterms:created>
  <dcterms:modified xsi:type="dcterms:W3CDTF">2018-04-16T08:54:00Z</dcterms:modified>
</cp:coreProperties>
</file>